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1E" w:rsidRPr="00C24B4A" w:rsidRDefault="00C24B4A" w:rsidP="00C24B4A">
      <w:pPr>
        <w:jc w:val="center"/>
        <w:rPr>
          <w:b/>
          <w:sz w:val="24"/>
        </w:rPr>
      </w:pPr>
      <w:r w:rsidRPr="00C24B4A">
        <w:rPr>
          <w:b/>
          <w:sz w:val="24"/>
        </w:rPr>
        <w:t xml:space="preserve">ΠΙΝΑΚΑΣ ΣΥΜΜΟΡΦΩΣΗΣ ΤΗΣ ΑΡΙΘ. ΠΡΩΤ. οικ. 1093/14-1-2021 </w:t>
      </w:r>
      <w:r w:rsidR="003D3B99">
        <w:rPr>
          <w:b/>
          <w:sz w:val="24"/>
        </w:rPr>
        <w:t>(ΑΔΑΜ: 21</w:t>
      </w:r>
      <w:r w:rsidR="003D3B99">
        <w:rPr>
          <w:b/>
          <w:sz w:val="24"/>
          <w:lang w:val="en-US"/>
        </w:rPr>
        <w:t>PROC</w:t>
      </w:r>
      <w:r w:rsidR="003D3B99" w:rsidRPr="003D3B99">
        <w:rPr>
          <w:b/>
          <w:sz w:val="24"/>
        </w:rPr>
        <w:t xml:space="preserve">008005702) </w:t>
      </w:r>
      <w:bookmarkStart w:id="0" w:name="_GoBack"/>
      <w:bookmarkEnd w:id="0"/>
      <w:r w:rsidRPr="00C24B4A">
        <w:rPr>
          <w:b/>
          <w:sz w:val="24"/>
        </w:rPr>
        <w:t>ΠΡΟΣΚΛΗΣΗΣ ΥΠΟΒΟΛΗΣ ΠΡΟΣΦΟΡΑΣ</w:t>
      </w:r>
      <w:r>
        <w:rPr>
          <w:b/>
          <w:sz w:val="24"/>
        </w:rPr>
        <w:t xml:space="preserve"> ΓΙΑ ΤΗΝ ΠΡΟΜΗΘΕΙΑ ΣΥΣΤΗΜΑΤΟΣ ΕΛΕΓΧΟΜΕΝΗΣ ΠΡΟΣΒΑΣΗΣ ΣΕ ΚΤΗΡΙΑ ΤΗΣ ΕΑΔ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2"/>
        <w:gridCol w:w="5046"/>
        <w:gridCol w:w="1257"/>
        <w:gridCol w:w="1351"/>
      </w:tblGrid>
      <w:tr w:rsidR="00C24B4A" w:rsidRPr="00C24B4A" w:rsidTr="00B17265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Τεχνική Προδιαγραφή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ΑΠΑΙΤΗΣΗ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ΑΠΑΝΤΗΣΗ</w:t>
            </w: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Ελεγκτής – Κεντρική μονάδα τύπου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RFID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3D3B99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NAI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Για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 xml:space="preserve">8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θύρες.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1.3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Εσωτερική μόνιμη μνήμη (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non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-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volatile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1.4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Χωρητικότητα χρηστών.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≥ 8.000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1.5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Χωρητικότητα συμβάντων.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≥ 32.000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1.6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Επικοινωνία με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PC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με πρωτόκολλο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RS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-485 και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TCP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/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IP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1.7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Εσωτερική σειρήνα συναγερμού με μπαταρία.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1.8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Το λογισμικό υποστηρίζεται και μέσω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Web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1.9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Λογισμικό ελέγχου της πρόσβασης από λειτουργικό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Windows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1.10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Δυνατότητα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διαλειτουργικής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σύνδεσης με μελλοντικό σύστημα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ωροσήμανσης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1.11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Το σύστημα θα υποστηρίζει τις παρακάτω λειτουργίες εκτάκτου ανάγκης είτε μέσω χειρισμού, είτε αυτόματα με την αναγνώριση συγκεκριμένου συμβάντος.</w:t>
            </w:r>
          </w:p>
          <w:p w:rsidR="00C24B4A" w:rsidRPr="00C24B4A" w:rsidRDefault="00C24B4A" w:rsidP="00C24B4A">
            <w:pPr>
              <w:spacing w:after="0" w:line="240" w:lineRule="auto"/>
              <w:ind w:left="207" w:hanging="207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•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ab/>
              <w:t xml:space="preserve">Απελευθέρωση εκτάκτου ανάγκης (Emergency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Door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Release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): Άνοιγμα όλων των</w:t>
            </w:r>
          </w:p>
          <w:p w:rsidR="00C24B4A" w:rsidRPr="00C24B4A" w:rsidRDefault="00C24B4A" w:rsidP="00C24B4A">
            <w:pPr>
              <w:spacing w:after="0" w:line="240" w:lineRule="auto"/>
              <w:ind w:left="207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θυρών ή προεπιλεγμένων ομάδων.</w:t>
            </w:r>
          </w:p>
          <w:p w:rsidR="00C24B4A" w:rsidRPr="00C24B4A" w:rsidRDefault="00C24B4A" w:rsidP="00C24B4A">
            <w:pPr>
              <w:spacing w:after="0" w:line="240" w:lineRule="auto"/>
              <w:ind w:left="207" w:hanging="207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•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ab/>
              <w:t xml:space="preserve">Κλείδωμα εκτάκτου ανάγκης (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Door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Lock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Down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): Κλείδωμα όλων των θυρών ή προεπιλεγμένων ομάδων θυρών με δυνατότητα εισόδου μόνον ή εξόδου μόνον ή</w:t>
            </w:r>
          </w:p>
          <w:p w:rsidR="00C24B4A" w:rsidRPr="00C24B4A" w:rsidRDefault="00C24B4A" w:rsidP="00C24B4A">
            <w:pPr>
              <w:spacing w:after="0" w:line="240" w:lineRule="auto"/>
              <w:ind w:left="207"/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πλήρους κλειδώματος.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1.12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Η πρόσβαση στον ελεγκτή (κεντρική μονάδα) θα είναι ελεγχόμενη και θα γίνεται με τη χρήση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username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και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password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 Το σύστημα θα παρέχει τη δυνατότητα δημιουργίας πολλαπλών ομάδων χρηστών (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User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Group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 με ρυθμιζόμενα δικαιώματα πρόσβασης (Access Rights) ανά ομάδα.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1.13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Σήμανση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CE.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Αναγνώστης (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Card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reader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)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RFID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2.2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Απόσταση ανίχνευσης.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2-6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cm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2.3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 xml:space="preserve">Tamper –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Αντιβανδαλιστική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προστασία.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lastRenderedPageBreak/>
              <w:t>2.4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Ενδείξεις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Led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2.5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Αδιάβροχο: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IP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56.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2.6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Πρωτόκολλο επικοινωνίας</w:t>
            </w:r>
            <w:r w:rsidRPr="00C24B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RS-485 και TCP/IP.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2.7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Σήμανση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CE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Ηλεκτρομαγνητική κλειδαριά για γυάλινη πόρτα.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Σούστα επαναφοράς για γυάλινη πόρτα.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Μπουτόν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/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Κομβίο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εξόδου πανικού.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5.1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Μπουτόν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/</w:t>
            </w:r>
            <w:r w:rsidRPr="00C24B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Κομβίο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εξόδου.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6.1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Θυροτηλέφωνο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επιτοίχιο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(σετ).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7.1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Τροφοδοτικό κεντρικής μονάδας 4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A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με ηλεκτρικό συσσωρευτή (12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V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– 7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Ah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) για πλήρη λειτουργία σε διακοπή ρεύματος.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8.1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8.2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Σε περίπτωση διακοπής ρεύματος (απώλειας τάσης), η μπαταρία θα παρέχει στο σύστημα αυτονομία τουλάχιστον οκτώ (8) ωρών.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Κάρτα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proxy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με ασπρόμαυρο λογότυπο.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9.1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Σούστα επαναφοράς για πόρτα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βαρέως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τύπου – θωρακισμένη.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10.1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Ηλεκτρική κλειδαριά για πόρτα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βαρέως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τύπου – θωρακισμένη.</w:t>
            </w:r>
          </w:p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 αναφερθεί ο κατασκευαστής.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11.1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Ποσότητα.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Εγκατάσταση του συστήματος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lastRenderedPageBreak/>
              <w:t>12.1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Πλήρης εγκατάσταση του συστήματος στα δύο κτήρια της αναθέτουσας αρχής, συμπεριλαμβανομένης της απαιτούμενης καλωδίωσης και όλων των </w:t>
            </w:r>
            <w:proofErr w:type="spellStart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μικροϋλικών</w:t>
            </w:r>
            <w:proofErr w:type="spellEnd"/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που απαιτούνται στα σημεία που θα υποδείξει η αναθέτουσα αρχή.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12.2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Θα χρησιμοποιηθούν καλώδια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UTP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Cat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.6 και θα φέρουν σήμανση 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CE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12.3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Διενέργεια όλων των απαιτούμενων ελέγχων και δοκιμών και παράδοση του συστήματος έτοιμο προς χρήση.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12.4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 ανάδοχος θα χρησιμοποιήσει το σύνολο των απαιτούμενων υλικών, ώστε το σύστημα να εγκατασταθεί σύμφωνα με τις επίσημες προδιαγραφές του κατασκευαστή.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12.5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Μετά την ολοκλήρωση της εγκατάστασης του συστήματος, ο ανάδοχος θα παραδώσει στην αναθέτουσα αρχή όλο το απαραίτητο υλικό σε έντυπη ή/και ηλεκτρονική μορφή, με οδηγίες για τη λειτουργία και συντήρηση του συστήματος, καθώς και τα τεχνικά φυλλάδια του εξοπλισμού.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</w:t>
            </w: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3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Εγγύηση καλής λειτουργίας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13.1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Διάρκεια σε έτη (μετά την οριστική παραλαβή του συστήματος).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≥3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13.2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Τηλεφωνική υποστήριξη.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C24B4A" w:rsidRPr="00C24B4A" w:rsidTr="00B17265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13.3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Αποκατάσταση βλαβών εντός 24 ωρών ή την επόμενη εργάσιμη ημέρα.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B4A" w:rsidRPr="00C24B4A" w:rsidRDefault="00C24B4A" w:rsidP="00C24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C24B4A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B4A" w:rsidRPr="00C24B4A" w:rsidRDefault="00C24B4A" w:rsidP="00C24B4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:rsidR="00C24B4A" w:rsidRDefault="00C24B4A"/>
    <w:sectPr w:rsidR="00C24B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4A"/>
    <w:rsid w:val="003D3B99"/>
    <w:rsid w:val="00C24B4A"/>
    <w:rsid w:val="00E3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176C"/>
  <w15:chartTrackingRefBased/>
  <w15:docId w15:val="{5667AE53-E2E0-4F57-86B6-9B39E36F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2021-01-14T09:38:00Z</dcterms:created>
  <dcterms:modified xsi:type="dcterms:W3CDTF">2021-01-14T09:45:00Z</dcterms:modified>
</cp:coreProperties>
</file>